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4B0291" w:rsidRPr="004B0291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29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8-ի N 1025-Ն որոշման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4B0291" w:rsidRPr="004B0291" w:rsidRDefault="004B0291" w:rsidP="004B029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4B0291" w:rsidRPr="004B0291" w:rsidRDefault="004B0291" w:rsidP="004B029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ՏՐԱՆՍՊՈՐՏԱՅԻՆ (ԱՎՏՈՄՈԲԻԼԱՅԻՆ ԵՎ ԵՐԿԱԹՈՒՂԱՅԻՆ) ՀԻՄՆԱՐԿՆԵՐԻ ՀԱՄԱՐ</w:t>
      </w:r>
    </w:p>
    <w:p w:rsidR="004B0291" w:rsidRPr="004B0291" w:rsidRDefault="004B0291" w:rsidP="004B029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4B0291">
        <w:rPr>
          <w:rFonts w:ascii="Calibri" w:eastAsia="Times New Roman" w:hAnsi="Calibri" w:cs="Calibri"/>
          <w:color w:val="000000"/>
        </w:rPr>
        <w:t> </w:t>
      </w:r>
      <w:r w:rsidRPr="004B0291">
        <w:rPr>
          <w:rFonts w:ascii="GHEA Grapalat" w:eastAsia="Times New Roman" w:hAnsi="GHEA Grapalat" w:cs="Times New Roman"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>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4B0291" w:rsidRPr="004B0291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  <w:r w:rsidRPr="004B029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  <w:r w:rsidRPr="004B029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  <w:r w:rsidRPr="004B0291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</w:t>
                  </w:r>
                  <w:r w:rsidRPr="004B0291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4B0291" w:rsidRPr="004B0291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B0291" w:rsidRPr="004B0291" w:rsidRDefault="004B0291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4B0291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4B0291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4B0291" w:rsidRPr="004B0291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0291" w:rsidRPr="004B0291" w:rsidRDefault="004B0291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lastRenderedPageBreak/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lastRenderedPageBreak/>
                    <w:t>________________________________</w:t>
                  </w:r>
                </w:p>
                <w:p w:rsidR="004B0291" w:rsidRPr="004B0291" w:rsidRDefault="004B0291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4B0291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lastRenderedPageBreak/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ՏՐԱՆՍՊՈՐՏԱՅԻՆ (ԱՎՏՈՄՈԲԻԼԱՅԻՆ ԵՎ ԵՐԿԱԹՈՒՂԱՅԻՆ)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ՀԻՄՆԱՐԿՆԵՐԻ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ՀԱՄԱՐ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18"/>
        <w:gridCol w:w="367"/>
        <w:gridCol w:w="257"/>
        <w:gridCol w:w="433"/>
        <w:gridCol w:w="1444"/>
        <w:gridCol w:w="1560"/>
        <w:gridCol w:w="1109"/>
        <w:gridCol w:w="865"/>
      </w:tblGrid>
      <w:tr w:rsidR="004B0291" w:rsidRPr="004B0291" w:rsidTr="00AE1063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Մեկնա-բանութ-յուն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Ավտոմոբիլային և երկաթուղային տրանսպորտային կազմակերպությունների մուտքերը ապահովված են էլեկտրական լուսավորությամբ: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Վերգետնյա և կիսավերգետնյա ավտոմեքենաների կայանման տեղամասերից մինչև այլ նշանակության շենքերի ու շինությունների միջև հակահրդեհային միջտարածությունները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ապահովված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«3», կետ 362, աղյուսակ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Ավտոմոբիլային և երկաթուղային տրանսպորտի հիմնարկներ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25-ից ավելի տրանսպորտային միջոցների համար նախատեսված շինություններից հրդեհի դեպքում ավտոմեքենաների տարահանման կարգի վերաբերյալ մշակված է տեղաբաշխման հատակագիծ: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24,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Մարդատար ավտոմեքենաներում պահվում է մինչև 40լ վառելանյութի պաշար: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24,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Մարդատար ավտոմեքենաներում պահվում է մինչև 10լ յուղի պաշար: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24,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Ձեռքի ծանրոցների (ուղեբեռների) պահասենյակներում դարակաշարերը պատրաստված են չայրվող նյութից: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գլուխ 25, կետ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Գլանատակառները մշակման տեղամաս տեղափոխման համար նախատեսված ջերմաքարշերը 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(շարժաքարշերը) սարքավորված են կայծմարիչներով: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25,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Սարքավորումները (պահոցները խողովակաշարերը, էստակադաները, գլանատակառները, լցման և դատարկման երկաթուղիները) էլեկտրաստատիկ լիցքերի կուտակումից զերծ պահելու նպատակով հողանցված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25,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Ճանապարհային մեքենակայանների վագոնների կայանման համար նախատեսված երկաթուղային ճանապարհները սարքավորված են հրդեհի դեպքում շարժակազմի տարակենտրոնացումն ապահովող սլաքային գծանցումով: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25,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Բնական և արհեստական ջրաղբյուրներից զուրկ ճանապարհային մեքենակայանների տեղակայման վայրերը ապահովված են հրդեհաշիջման համար պահանջվող 50մ</w:t>
            </w:r>
            <w:r w:rsidRPr="004B029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ոչ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պակաս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ջրի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պաշարով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V,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25,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գլուխ 3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Տարահանման ուղիների հատակի վրա բացակայում են/չկան բարձրությունների 45 սմ-ից պակաս անկումներ և ելուստներ, բացառությամբ դռների բացվածքների շեմերի: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«5»,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որոնց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21</w:t>
            </w:r>
            <w:r w:rsidRPr="004B029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proofErr w:type="gramStart"/>
            <w:r w:rsidRPr="004B0291">
              <w:rPr>
                <w:rFonts w:ascii="GHEA Grapalat" w:eastAsia="Times New Roman" w:hAnsi="GHEA Grapalat" w:cs="Times New Roman"/>
                <w:color w:val="000000"/>
              </w:rPr>
              <w:t>կանոնների</w:t>
            </w:r>
            <w:proofErr w:type="gramEnd"/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4,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21</w:t>
            </w:r>
            <w:r w:rsidRPr="004B029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մոնտաժված են վթարային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proofErr w:type="gramStart"/>
            <w:r w:rsidRPr="004B0291">
              <w:rPr>
                <w:rFonts w:ascii="GHEA Grapalat" w:eastAsia="Times New Roman" w:hAnsi="GHEA Grapalat" w:cs="Times New Roman"/>
                <w:color w:val="000000"/>
              </w:rPr>
              <w:t>լուսավորության</w:t>
            </w:r>
            <w:proofErr w:type="gramEnd"/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հավելված 1,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10, «8»,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այրունակ նյութից պատրաստված կառուցվածքները և իրերը պահպանված է ոչ պակաս քան 0,5 մ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«6», կետ 7.11.1,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4B029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հակածխային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պաշտպանության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color w:val="000000"/>
              </w:rPr>
              <w:t>համակարգ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«6», կետ 8</w:t>
            </w:r>
            <w:r w:rsidRPr="004B029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2, </w:t>
            </w:r>
            <w:r w:rsidRPr="004B0291">
              <w:rPr>
                <w:rFonts w:ascii="GHEA Grapalat" w:eastAsia="Times New Roman" w:hAnsi="GHEA Grapalat" w:cs="Sylfaen"/>
                <w:color w:val="000000"/>
              </w:rPr>
              <w:t>ենթակետ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գլուխ I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օբյեկտների տարածքում կամ դրանց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մոտակայքում (200 մ շառավղով)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նախատեսված է առնվազն 1 հրշեջ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հիդրանտ կամ նվազագույնը 54 մ</w:t>
            </w:r>
            <w:r w:rsidRPr="004B029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տարողությամբ հակահրդեհային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«7», գլուխ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5, կետեր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29, 45,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գլուխ 11,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գլուխ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12,կետ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4B029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«2»,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31</w:t>
            </w:r>
            <w:r w:rsidRPr="004B0291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ցանցի վրա տեղակայված հրշեջ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proofErr w:type="gramStart"/>
            <w:r w:rsidRPr="004B0291">
              <w:rPr>
                <w:rFonts w:ascii="GHEA Grapalat" w:eastAsia="Times New Roman" w:hAnsi="GHEA Grapalat" w:cs="Times New Roman"/>
                <w:color w:val="000000"/>
              </w:rPr>
              <w:t>ծորակները</w:t>
            </w:r>
            <w:proofErr w:type="gramEnd"/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բաժին I,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«2»,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տրանսպորտային հիմնարկները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տրանսպորտային հիմնարկները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I, գլուխ 7,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կետեր 81,</w:t>
            </w:r>
          </w:p>
          <w:p w:rsidR="004B0291" w:rsidRPr="004B0291" w:rsidRDefault="004B0291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«4»,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4B0291" w:rsidRPr="004B0291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4B0291">
        <w:rPr>
          <w:rFonts w:ascii="GHEA Grapalat" w:eastAsia="Times New Roman" w:hAnsi="GHEA Grapalat" w:cs="Times New Roman"/>
          <w:color w:val="000000"/>
        </w:rPr>
        <w:t>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«2» - ՀՀՇՆ 40-01.01-2014 «Շենքերի ներքին ջրամատակարարում և ջրահեռացում»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«3» -ՀՀՇՆ 30-01-2023 «Քաղաքաշինություն. Քաղաքային և գյուղական բնակավայրերի հատակագծում և կառուցապատում»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lastRenderedPageBreak/>
        <w:t>«5» - ՀՀՇՆ 21-01-2014 «Շենքերի և շինությունների հրդեհային անվտանգություն»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«6» - ՀՀՇՆ IV-12.02.01-04 «Ջեռուցում, օդափոխում և օդի լավորակում»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«7» - ՀՀՇՆ 40.01.02-2020 «Ջրամատակարարում. Արտաքին ցանցեր և կառուցվածքներ»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«8» - ՀՀՇՆ 22-03-2017 «Արհեստական և բնական լուսավորում»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I*-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Ավտոմեքենաների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կայանման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տեղամասերից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մինչև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այլ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նշանակության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շենքերի ու շինությունների միջև հակահրդեհային միջտարածությունները.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634"/>
        <w:gridCol w:w="617"/>
        <w:gridCol w:w="694"/>
        <w:gridCol w:w="741"/>
        <w:gridCol w:w="2271"/>
        <w:gridCol w:w="895"/>
      </w:tblGrid>
      <w:tr w:rsidR="004B0291" w:rsidRPr="004B0291" w:rsidTr="00AE1063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Շինություններ,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որոնցից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որոշվում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է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հեռավորությունը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Հեռավորությունը,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մ</w:t>
            </w:r>
          </w:p>
        </w:tc>
      </w:tr>
      <w:tr w:rsidR="004B0291" w:rsidRPr="004B0291" w:rsidTr="00AE106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Ավտոկայանատեղերի կամ բաց ավտոկանգառների մուտքերից,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ավտոմեքենաների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հետևյալ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քանակի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դեպքում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սպասարկման կայաններից,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հենակետերի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հետևյալ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քանակի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դեպքում</w:t>
            </w:r>
          </w:p>
        </w:tc>
      </w:tr>
      <w:tr w:rsidR="004B0291" w:rsidRPr="004B0291" w:rsidTr="00AE1063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և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պակաս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</w:t>
            </w:r>
            <w:r w:rsidRPr="004B02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և</w:t>
            </w: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4B0291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պակաս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11-30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Բնակելի շենքեր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10***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Այդ թվում բնակելի շենքերի առանց պատուհանների ճակատները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Հասարակական նշանակության շենքեր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20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Հանրակրթական դպրոցներ և մանկական նախադպրոցական հաստատություններ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**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Առողջապահական հաստատություններ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**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* Բայց ոչ պակաս քան 6 մ, հրշեջ-փրկարարական ավտոմեքենաների անցման համար: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** Որոշվում է պետական հակահամաճարակային կազմակերպության համաձայնությամբ: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*** Հրակայունության III-V աստիճանի ավտոկայանատեղերի համար հեռավորությունը պետք է ընդունել ոչ պակաս քան 12 մետր: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Ծանոթագրություն.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ա) Հեռավորությունը պետք է որոշել բնակելի և հասարակական նշանակության շենքերի պատուհաններից, հանրակրթական դպրոցների, մանկական նախադպրոցական, </w:t>
      </w:r>
      <w:r w:rsidRPr="004B0291">
        <w:rPr>
          <w:rFonts w:ascii="GHEA Grapalat" w:eastAsia="Times New Roman" w:hAnsi="GHEA Grapalat" w:cs="Times New Roman"/>
          <w:color w:val="000000"/>
        </w:rPr>
        <w:lastRenderedPageBreak/>
        <w:t>առողջապահական հաստատությունների տարածքների սահմանից մինչև ավտոկայանատեղի պատը կամ բաց ավտոկանգառի սահմանը: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բ) Հատվածամասային բնակելի շենքերից մինչև շենքի երկայնական ճակատի երկայնքով տեղակայված 101-300 ավտոմեքենա տարողությամբ բաց հարթակները հեռավորությունը պետք է ընդունել ոչ պակաս քան 50 մետր: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գ) I և II հրակայունության աստիճանի ավտոկայանատեղերի համար սույն աղյուսակում նշված հեռավորությունները թույլատրվում է կրճատել 25%-ով, եթե ավտոկայանատեղում բացակայում են բացվող պատուհաններ, ինչպես նաև դեպի բնակելի և հասարակական նշանակության շենքերը կողմնորոշված մուտքեր: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դ) Մարդատար ավտոմեքենաների պահպանման համար 300 և ավելի ավտոմեքենա տարողությամբ ավտոկայանատեղերն ու բաց ավտոկանգառները և 30 և ավելի հենակետերով տեխնիկական սպասարկման կայանները պետք է տեղակայել բնակելի տարածքներից դուրս` բնակելի շենքերից ոչ պակաս քան 50 մետր հեռավորության վրա: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ե) Քաղաքացիներին պատկանող մեկ հարկանի ավտոտնակներում թույլատրվում է կառուցել նկուղներ: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II*- Ոչ պակաս քան երկու տարահանման ելք պետք է ունենան.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4B0291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4B0291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4B0291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4B0291">
        <w:rPr>
          <w:rFonts w:ascii="Calibri" w:eastAsia="Times New Roman" w:hAnsi="Calibri" w:cs="Calibri"/>
          <w:color w:val="000000"/>
        </w:rPr>
        <w:t> </w:t>
      </w:r>
      <w:r w:rsidRPr="004B0291">
        <w:rPr>
          <w:rFonts w:ascii="GHEA Grapalat" w:eastAsia="Times New Roman" w:hAnsi="GHEA Grapalat" w:cs="GHEA Grapalat"/>
          <w:color w:val="000000"/>
        </w:rPr>
        <w:t>ավելի</w:t>
      </w:r>
      <w:r w:rsidRPr="004B0291">
        <w:rPr>
          <w:rFonts w:ascii="GHEA Grapalat" w:eastAsia="Times New Roman" w:hAnsi="GHEA Grapalat" w:cs="Times New Roman"/>
          <w:color w:val="000000"/>
        </w:rPr>
        <w:t xml:space="preserve"> մակերեսով սենքերը,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4B0291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4B0291">
        <w:rPr>
          <w:rFonts w:ascii="Calibri" w:eastAsia="Times New Roman" w:hAnsi="Calibri" w:cs="Calibri"/>
          <w:color w:val="000000"/>
        </w:rPr>
        <w:t> </w:t>
      </w:r>
      <w:r w:rsidRPr="004B0291">
        <w:rPr>
          <w:rFonts w:ascii="GHEA Grapalat" w:eastAsia="Times New Roman" w:hAnsi="GHEA Grapalat" w:cs="GHEA Grapalat"/>
          <w:color w:val="000000"/>
        </w:rPr>
        <w:t>ավելի</w:t>
      </w:r>
      <w:r w:rsidRPr="004B0291">
        <w:rPr>
          <w:rFonts w:ascii="GHEA Grapalat" w:eastAsia="Times New Roman" w:hAnsi="GHEA Grapalat" w:cs="Times New Roman"/>
          <w:color w:val="000000"/>
        </w:rPr>
        <w:t xml:space="preserve"> հարկաբաժնի հատակի մակերեսի դեպքում և 400 մ</w:t>
      </w:r>
      <w:r w:rsidRPr="004B0291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4B0291">
        <w:rPr>
          <w:rFonts w:ascii="Calibri" w:eastAsia="Times New Roman" w:hAnsi="Calibri" w:cs="Calibri"/>
          <w:color w:val="000000"/>
        </w:rPr>
        <w:t> </w:t>
      </w:r>
      <w:r w:rsidRPr="004B0291">
        <w:rPr>
          <w:rFonts w:ascii="GHEA Grapalat" w:eastAsia="Times New Roman" w:hAnsi="GHEA Grapalat" w:cs="GHEA Grapalat"/>
          <w:color w:val="000000"/>
        </w:rPr>
        <w:t>ավելի</w:t>
      </w:r>
      <w:r w:rsidRPr="004B0291">
        <w:rPr>
          <w:rFonts w:ascii="GHEA Grapalat" w:eastAsia="Times New Roman" w:hAnsi="GHEA Grapalat" w:cs="Times New Roman"/>
          <w:color w:val="000000"/>
        </w:rPr>
        <w:t xml:space="preserve"> - այլ կարգի սենքերի համար,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4B0291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III*-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հրդեհաշիջման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և հրդեհի ազդանշանման ինքնաշխատ համակարգերով օբյեկտների համալրման չափանիշներն են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2854"/>
        <w:gridCol w:w="2222"/>
      </w:tblGrid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1. Ավտոմեքենաների համար շենքեր և շինություններ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1.1. Ավտոկայանատեղեր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ՀՀ ՇՆ IV-11.03.03-02 «Ավտոկայանատեղեր» նորմի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1.2. Տեխնիկական սպասարկման և նորոգման կետեր,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ՎՍՆ 01-89 «Ավտոմեքենաների սպասարկման ձեռնարկություններ» նորմի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1.3. Ավտոմեքենաների պահեստարաններ` ստորգետնյա կամ փակ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2. Տրանսպորտային միջոցների համար սենքեր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2.1. Էլեկտրամեքենաների, ապարատասրահների, նորոգման, սայլակների և անիվների, վագոնների քանդման և հավաքման, նորոգման-համալրման, էլեկտրավագոնների, վագոնների նախապատրաստման, դիզելային, շարժակազմի տեխնիկական սպասարկման, բեռնարկղային դեպոների, սլաքային ապրանքների արտադրության, գլանատակառների տաք մշակման, նավթաբիտումի գլանատակառների ջերմային մշակման խցերի, փայտակոճերի տոգորման, գլանային, տոգորված փայտանյութի պարզարանների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3. Մետրոպոլիտենի վերգետնյա և ստորգետնյա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Ոլորտը կարգավորող նորմերի համաձայն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 xml:space="preserve">4. Ավտոմատ համակարգով հսկիչ-կարգավարական կետերի սենքեր, հաղորդակցության հաղորդակցուղիների կենտրոններ, ռադիոփարոսով մոտակա և 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հեռակա շարժահաղորդակով ռադիոկայաններ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5. Ավիաշարժիչների մոնտաժման և ապամոնտաժման, ինքնաթիռների և ուղղաթիռների շասսիի և անիվների, օդային պտուտակների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6. Ինքնաթիռների և շարժիչանորոգման արտադրության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7. Այլ նշանակության շենքերում տեղակայված (բացառությամբ անհատական բնակելի տների) տրանսպորտային միջոցների պահպանման սենքեր, որոնք գտնվում են.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7.1. Նկուղային և կիսանկուղային հարկերում (այդ թվում կամուրջների տակ)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7.2.Կիսանկուղային և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 և ավելի ավտոմեքենաների պահպանման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3-ից պակաս ավտոմեքենաների պահպանման դեպքում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i/>
          <w:iCs/>
          <w:color w:val="000000"/>
        </w:rPr>
        <w:t>IV*-</w:t>
      </w:r>
      <w:r w:rsidRPr="004B0291">
        <w:rPr>
          <w:rFonts w:ascii="Calibri" w:eastAsia="Times New Roman" w:hAnsi="Calibri" w:cs="Calibri"/>
          <w:i/>
          <w:iCs/>
          <w:color w:val="000000"/>
        </w:rPr>
        <w:t> </w:t>
      </w:r>
      <w:r w:rsidRPr="004B0291">
        <w:rPr>
          <w:rFonts w:ascii="GHEA Grapalat" w:eastAsia="Times New Roman" w:hAnsi="GHEA Grapalat" w:cs="Times New Roman"/>
          <w:color w:val="000000"/>
        </w:rPr>
        <w:t>Շենքերը և շինությունները ձեռքի կրակմարիչներով ապահովելու չափանիշները ներկայացված են ստորև ներկայացված աղյուսակներում.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4B029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4B0291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4B0291">
        <w:rPr>
          <w:rFonts w:ascii="Calibri" w:eastAsia="Times New Roman" w:hAnsi="Calibri" w:cs="Calibri"/>
          <w:color w:val="000000"/>
        </w:rPr>
        <w:t> 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4B0291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4B0291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4B0291" w:rsidRPr="004B0291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91" w:rsidRPr="004B0291" w:rsidRDefault="004B0291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4B0291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lastRenderedPageBreak/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4B0291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>E) փոշի.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4B0291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4B0291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ՏՐԱՆՍՊՈՐՏԱՅԻՆ (ԱՎՏՈՄՈԲԻԼԱՅԻՆ ԵՎ ԵՐԿԱԹՈՒՂԱՅԻՆ) ՀԻՄՆԱՐԿՆԵՐԻ ՍՏՈՒԳԱԹԵՐԹԻ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Calibri" w:eastAsia="Times New Roman" w:hAnsi="Calibri" w:cs="Calibri"/>
          <w:color w:val="000000"/>
        </w:rPr>
        <w:t> 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Սույն ստուգաթերթում օգտագործվում են հետևյալ հիմնական հասկացությունները`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1)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proofErr w:type="gramStart"/>
      <w:r w:rsidRPr="004B0291">
        <w:rPr>
          <w:rFonts w:ascii="GHEA Grapalat" w:eastAsia="Times New Roman" w:hAnsi="GHEA Grapalat" w:cs="GHEA Grapalat"/>
          <w:b/>
          <w:bCs/>
          <w:color w:val="000000"/>
        </w:rPr>
        <w:t>այրվող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նյութ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`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ինքնուրույն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,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կրակի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աղբյուրի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հեռացումից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հետո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այրվող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նյութ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2)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proofErr w:type="gramStart"/>
      <w:r w:rsidRPr="004B0291">
        <w:rPr>
          <w:rFonts w:ascii="GHEA Grapalat" w:eastAsia="Times New Roman" w:hAnsi="GHEA Grapalat" w:cs="GHEA Grapalat"/>
          <w:b/>
          <w:bCs/>
          <w:color w:val="000000"/>
        </w:rPr>
        <w:t>հակահրդեհային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միջտարածություն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`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շինությունից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դեպի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հարևան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շինություններ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կրակի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տարածումը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կանխարգելելու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նպատակով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նախատեսված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տարածություն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3)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proofErr w:type="gramStart"/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հրդեհաշիջման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և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ազ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դանշանման ինքնաշխատ կայանքներ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(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ՀՀԱԻԿ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)`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նախատեսված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են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հրդեհաշիջման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և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վայրի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հայտնաբերման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համար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4)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proofErr w:type="gramStart"/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հրդեհի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տագնապի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ազդարարման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ինքնաշխատ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համակարգ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(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ՀՏԱԻՀ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)`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նախատեսված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է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տագնապի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ազդարարման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համար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5)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proofErr w:type="gramStart"/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հրդեհի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տագնապի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ազդանշանի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փոխանցման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ինքնաշխատ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համա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կարգ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(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ՀՏԱՓԻՀ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)`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նախատեսված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է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հրդեհի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տագնապի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ազդանշանը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օբյեկտից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կապի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որևէ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հնարավոր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միջոցով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լիազոր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մարմնին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հաղորդման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համար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>6)</w:t>
      </w:r>
      <w:r w:rsidRPr="004B0291">
        <w:rPr>
          <w:rFonts w:ascii="Calibri" w:eastAsia="Times New Roman" w:hAnsi="Calibri" w:cs="Calibri"/>
          <w:b/>
          <w:bCs/>
          <w:color w:val="000000"/>
        </w:rPr>
        <w:t> </w:t>
      </w:r>
      <w:proofErr w:type="gramStart"/>
      <w:r w:rsidRPr="004B0291">
        <w:rPr>
          <w:rFonts w:ascii="GHEA Grapalat" w:eastAsia="Times New Roman" w:hAnsi="GHEA Grapalat" w:cs="GHEA Grapalat"/>
          <w:b/>
          <w:bCs/>
          <w:color w:val="000000"/>
        </w:rPr>
        <w:t>լիազոր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մարմին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`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Հայաստանի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Հանրապետության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ներքին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գործերի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4B0291">
        <w:rPr>
          <w:rFonts w:ascii="GHEA Grapalat" w:eastAsia="Times New Roman" w:hAnsi="GHEA Grapalat" w:cs="GHEA Grapalat"/>
          <w:b/>
          <w:bCs/>
          <w:color w:val="000000"/>
        </w:rPr>
        <w:t>նախարարություն</w:t>
      </w:r>
      <w:r w:rsidRPr="004B0291">
        <w:rPr>
          <w:rFonts w:ascii="GHEA Grapalat" w:eastAsia="Times New Roman" w:hAnsi="GHEA Grapalat" w:cs="Times New Roman"/>
          <w:b/>
          <w:bCs/>
          <w:color w:val="000000"/>
        </w:rPr>
        <w:t>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7) </w:t>
      </w:r>
      <w:proofErr w:type="gramStart"/>
      <w:r w:rsidRPr="004B0291">
        <w:rPr>
          <w:rFonts w:ascii="GHEA Grapalat" w:eastAsia="Times New Roman" w:hAnsi="GHEA Grapalat" w:cs="Times New Roman"/>
          <w:b/>
          <w:bCs/>
          <w:color w:val="000000"/>
        </w:rPr>
        <w:t>հրդեհաշիջման</w:t>
      </w:r>
      <w:proofErr w:type="gramEnd"/>
      <w:r w:rsidRPr="004B0291">
        <w:rPr>
          <w:rFonts w:ascii="GHEA Grapalat" w:eastAsia="Times New Roman" w:hAnsi="GHEA Grapalat" w:cs="Times New Roman"/>
          <w:b/>
          <w:bCs/>
          <w:color w:val="000000"/>
        </w:rPr>
        <w:t xml:space="preserve"> սկզբնական միջոցներ՝ կրակմարիչներ, արկղ ավազով, դույլ, բահ, կեռաձող, կացին:</w:t>
      </w:r>
    </w:p>
    <w:p w:rsidR="004B0291" w:rsidRPr="004B0291" w:rsidRDefault="004B0291" w:rsidP="004B0291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</w:t>
      </w:r>
      <w:r w:rsidRPr="004B0291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4B0291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4B0291">
        <w:rPr>
          <w:rFonts w:ascii="GHEA Grapalat" w:eastAsia="Times New Roman" w:hAnsi="GHEA Grapalat" w:cs="GHEA Grapalat"/>
          <w:b/>
          <w:bCs/>
          <w:i/>
          <w:iCs/>
          <w:color w:val="000000"/>
        </w:rPr>
        <w:t>փոփ</w:t>
      </w:r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4B0291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 18.01.24 N 88-</w:t>
      </w:r>
      <w:r w:rsidRPr="004B0291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4B0291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bookmarkEnd w:id="0"/>
    <w:p w:rsidR="00AB54E0" w:rsidRPr="004B0291" w:rsidRDefault="00AB54E0" w:rsidP="004B0291">
      <w:pPr>
        <w:rPr>
          <w:rFonts w:ascii="GHEA Grapalat" w:hAnsi="GHEA Grapalat"/>
        </w:rPr>
      </w:pPr>
    </w:p>
    <w:sectPr w:rsidR="00AB54E0" w:rsidRPr="004B0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B5"/>
    <w:rsid w:val="004B0291"/>
    <w:rsid w:val="00AB54E0"/>
    <w:rsid w:val="00E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7D944-8F78-4E56-925B-6D6AFE7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64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E964B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964B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E964B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964B5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E964B5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E964B5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E964B5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E964B5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B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E964B5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964B5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964B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964B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964B5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E964B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E964B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E964B5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E9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964B5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964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964B5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E964B5"/>
  </w:style>
  <w:style w:type="paragraph" w:styleId="BalloonText">
    <w:name w:val="Balloon Text"/>
    <w:basedOn w:val="Normal"/>
    <w:link w:val="BalloonTextChar"/>
    <w:uiPriority w:val="99"/>
    <w:semiHidden/>
    <w:unhideWhenUsed/>
    <w:rsid w:val="00E964B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B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E9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96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E96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E964B5"/>
  </w:style>
  <w:style w:type="paragraph" w:styleId="Header">
    <w:name w:val="header"/>
    <w:basedOn w:val="Normal"/>
    <w:link w:val="HeaderChar"/>
    <w:unhideWhenUsed/>
    <w:rsid w:val="00E964B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64B5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964B5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964B5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E964B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964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964B5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964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E964B5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E964B5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E964B5"/>
    <w:rPr>
      <w:color w:val="808080"/>
    </w:rPr>
  </w:style>
  <w:style w:type="paragraph" w:styleId="NoSpacing">
    <w:name w:val="No Spacing"/>
    <w:link w:val="NoSpacingChar"/>
    <w:qFormat/>
    <w:rsid w:val="00E964B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E964B5"/>
    <w:rPr>
      <w:rFonts w:cs="Times New Roman"/>
      <w:color w:val="0000FF"/>
      <w:u w:val="single"/>
    </w:rPr>
  </w:style>
  <w:style w:type="character" w:styleId="FollowedHyperlink">
    <w:name w:val="FollowedHyperlink"/>
    <w:rsid w:val="00E964B5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E964B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E964B5"/>
  </w:style>
  <w:style w:type="paragraph" w:styleId="BodyTextIndent">
    <w:name w:val="Body Text Indent"/>
    <w:basedOn w:val="Normal"/>
    <w:link w:val="BodyTextIndentChar"/>
    <w:rsid w:val="00E964B5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964B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964B5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964B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964B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64B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964B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964B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E964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E964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E964B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E964B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E964B5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E964B5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E964B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E964B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E964B5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E964B5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E9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E964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E964B5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E964B5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E964B5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E964B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E964B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E964B5"/>
  </w:style>
  <w:style w:type="character" w:customStyle="1" w:styleId="CharChar3">
    <w:name w:val="Char Char3"/>
    <w:rsid w:val="00E964B5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E964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E964B5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E9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E9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E964B5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E96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4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9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64B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96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4B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2024-03-01T08:10:00Z</dcterms:created>
  <dcterms:modified xsi:type="dcterms:W3CDTF">2024-03-01T08:10:00Z</dcterms:modified>
</cp:coreProperties>
</file>